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DFEB1" w14:textId="07DA4068" w:rsidR="00DB5DDF" w:rsidRPr="00CC76A8" w:rsidRDefault="00DB5DDF" w:rsidP="003D4640">
      <w:pPr>
        <w:rPr>
          <w:rFonts w:ascii="Calibri" w:hAnsi="Calibri"/>
          <w:sz w:val="10"/>
          <w:szCs w:val="10"/>
        </w:rPr>
      </w:pPr>
    </w:p>
    <w:tbl>
      <w:tblPr>
        <w:tblStyle w:val="TableGrid"/>
        <w:tblW w:w="14400" w:type="dxa"/>
        <w:tblLook w:val="04A0" w:firstRow="1" w:lastRow="0" w:firstColumn="1" w:lastColumn="0" w:noHBand="0" w:noVBand="1"/>
      </w:tblPr>
      <w:tblGrid>
        <w:gridCol w:w="1165"/>
        <w:gridCol w:w="4261"/>
        <w:gridCol w:w="1658"/>
        <w:gridCol w:w="2262"/>
        <w:gridCol w:w="1047"/>
        <w:gridCol w:w="1156"/>
        <w:gridCol w:w="808"/>
        <w:gridCol w:w="2043"/>
      </w:tblGrid>
      <w:tr w:rsidR="002F0AFA" w14:paraId="255F2D34" w14:textId="77777777" w:rsidTr="004A74B1">
        <w:trPr>
          <w:tblHeader/>
        </w:trPr>
        <w:tc>
          <w:tcPr>
            <w:tcW w:w="1166" w:type="dxa"/>
            <w:tcBorders>
              <w:top w:val="nil"/>
              <w:left w:val="nil"/>
              <w:bottom w:val="nil"/>
              <w:right w:val="single" w:sz="4" w:space="0" w:color="auto"/>
            </w:tcBorders>
          </w:tcPr>
          <w:p w14:paraId="5973B27C" w14:textId="77777777" w:rsidR="002F0AFA" w:rsidRDefault="002F0AFA" w:rsidP="000C74B2">
            <w:pPr>
              <w:rPr>
                <w:rFonts w:ascii="Calibri" w:hAnsi="Calibri"/>
                <w:sz w:val="20"/>
                <w:szCs w:val="20"/>
              </w:rPr>
            </w:pPr>
            <w:r>
              <w:rPr>
                <w:rFonts w:ascii="Calibri" w:hAnsi="Calibri"/>
                <w:sz w:val="20"/>
                <w:szCs w:val="20"/>
              </w:rPr>
              <w:t>Full Name:</w:t>
            </w:r>
          </w:p>
        </w:tc>
        <w:tc>
          <w:tcPr>
            <w:tcW w:w="4282" w:type="dxa"/>
            <w:tcBorders>
              <w:left w:val="single" w:sz="4" w:space="0" w:color="auto"/>
              <w:right w:val="single" w:sz="4" w:space="0" w:color="auto"/>
            </w:tcBorders>
          </w:tcPr>
          <w:p w14:paraId="469325B3" w14:textId="77777777" w:rsidR="002F0AFA" w:rsidRDefault="002F0AFA" w:rsidP="000C74B2">
            <w:pPr>
              <w:rPr>
                <w:rFonts w:ascii="Calibri" w:hAnsi="Calibri"/>
                <w:sz w:val="20"/>
                <w:szCs w:val="20"/>
              </w:rPr>
            </w:pPr>
          </w:p>
        </w:tc>
        <w:tc>
          <w:tcPr>
            <w:tcW w:w="1662" w:type="dxa"/>
            <w:tcBorders>
              <w:top w:val="nil"/>
              <w:left w:val="single" w:sz="4" w:space="0" w:color="auto"/>
              <w:bottom w:val="nil"/>
              <w:right w:val="single" w:sz="4" w:space="0" w:color="auto"/>
            </w:tcBorders>
          </w:tcPr>
          <w:p w14:paraId="161A1806" w14:textId="77777777" w:rsidR="002F0AFA" w:rsidRDefault="002F0AFA" w:rsidP="000C74B2">
            <w:pPr>
              <w:rPr>
                <w:rFonts w:ascii="Calibri" w:hAnsi="Calibri"/>
                <w:sz w:val="20"/>
                <w:szCs w:val="20"/>
              </w:rPr>
            </w:pPr>
            <w:r>
              <w:rPr>
                <w:rFonts w:ascii="Calibri" w:hAnsi="Calibri"/>
                <w:sz w:val="20"/>
                <w:szCs w:val="20"/>
              </w:rPr>
              <w:t>Preferred Name:</w:t>
            </w:r>
          </w:p>
        </w:tc>
        <w:tc>
          <w:tcPr>
            <w:tcW w:w="2273" w:type="dxa"/>
            <w:tcBorders>
              <w:left w:val="single" w:sz="4" w:space="0" w:color="auto"/>
              <w:right w:val="single" w:sz="4" w:space="0" w:color="auto"/>
            </w:tcBorders>
          </w:tcPr>
          <w:p w14:paraId="02186969" w14:textId="77777777" w:rsidR="002F0AFA" w:rsidRDefault="002F0AFA" w:rsidP="000C74B2">
            <w:pPr>
              <w:rPr>
                <w:rFonts w:ascii="Calibri" w:hAnsi="Calibri"/>
                <w:sz w:val="20"/>
                <w:szCs w:val="20"/>
              </w:rPr>
            </w:pPr>
          </w:p>
        </w:tc>
        <w:tc>
          <w:tcPr>
            <w:tcW w:w="994" w:type="dxa"/>
            <w:tcBorders>
              <w:top w:val="nil"/>
              <w:left w:val="single" w:sz="4" w:space="0" w:color="auto"/>
              <w:bottom w:val="nil"/>
              <w:right w:val="single" w:sz="4" w:space="0" w:color="auto"/>
            </w:tcBorders>
          </w:tcPr>
          <w:p w14:paraId="7D90A2B4" w14:textId="1A225864" w:rsidR="002F0AFA" w:rsidRDefault="007D0940" w:rsidP="000C74B2">
            <w:pPr>
              <w:rPr>
                <w:rFonts w:ascii="Calibri" w:hAnsi="Calibri"/>
                <w:sz w:val="20"/>
                <w:szCs w:val="20"/>
              </w:rPr>
            </w:pPr>
            <w:r>
              <w:rPr>
                <w:rFonts w:ascii="Calibri" w:hAnsi="Calibri"/>
                <w:sz w:val="20"/>
                <w:szCs w:val="20"/>
              </w:rPr>
              <w:t>P</w:t>
            </w:r>
            <w:r w:rsidR="002F0AFA">
              <w:rPr>
                <w:rFonts w:ascii="Calibri" w:hAnsi="Calibri"/>
                <w:sz w:val="20"/>
                <w:szCs w:val="20"/>
              </w:rPr>
              <w:t>ronouns</w:t>
            </w:r>
            <w:r w:rsidR="00EE23F9">
              <w:rPr>
                <w:rFonts w:ascii="Calibri" w:hAnsi="Calibri"/>
                <w:sz w:val="20"/>
                <w:szCs w:val="20"/>
              </w:rPr>
              <w:t>: (Optional)</w:t>
            </w:r>
          </w:p>
        </w:tc>
        <w:tc>
          <w:tcPr>
            <w:tcW w:w="1161" w:type="dxa"/>
            <w:tcBorders>
              <w:left w:val="single" w:sz="4" w:space="0" w:color="auto"/>
              <w:right w:val="single" w:sz="4" w:space="0" w:color="auto"/>
            </w:tcBorders>
          </w:tcPr>
          <w:p w14:paraId="30BED120" w14:textId="77777777" w:rsidR="002F0AFA" w:rsidRDefault="002F0AFA" w:rsidP="000C74B2">
            <w:pPr>
              <w:rPr>
                <w:rFonts w:ascii="Calibri" w:hAnsi="Calibri"/>
                <w:sz w:val="20"/>
                <w:szCs w:val="20"/>
              </w:rPr>
            </w:pPr>
          </w:p>
        </w:tc>
        <w:tc>
          <w:tcPr>
            <w:tcW w:w="809" w:type="dxa"/>
            <w:tcBorders>
              <w:top w:val="nil"/>
              <w:left w:val="single" w:sz="4" w:space="0" w:color="auto"/>
              <w:bottom w:val="nil"/>
              <w:right w:val="single" w:sz="4" w:space="0" w:color="auto"/>
            </w:tcBorders>
          </w:tcPr>
          <w:p w14:paraId="23697B3D" w14:textId="77777777" w:rsidR="002F0AFA" w:rsidRDefault="002F0AFA" w:rsidP="000C74B2">
            <w:pPr>
              <w:rPr>
                <w:rFonts w:ascii="Calibri" w:hAnsi="Calibri"/>
                <w:sz w:val="20"/>
                <w:szCs w:val="20"/>
              </w:rPr>
            </w:pPr>
            <w:r>
              <w:rPr>
                <w:rFonts w:ascii="Calibri" w:hAnsi="Calibri"/>
                <w:sz w:val="20"/>
                <w:szCs w:val="20"/>
              </w:rPr>
              <w:t>GTID:</w:t>
            </w:r>
          </w:p>
        </w:tc>
        <w:tc>
          <w:tcPr>
            <w:tcW w:w="2053" w:type="dxa"/>
            <w:tcBorders>
              <w:left w:val="single" w:sz="4" w:space="0" w:color="auto"/>
            </w:tcBorders>
          </w:tcPr>
          <w:p w14:paraId="20A998FF" w14:textId="77777777" w:rsidR="002F0AFA" w:rsidRDefault="002F0AFA" w:rsidP="000C74B2">
            <w:pPr>
              <w:rPr>
                <w:rFonts w:ascii="Calibri" w:hAnsi="Calibri"/>
                <w:sz w:val="20"/>
                <w:szCs w:val="20"/>
              </w:rPr>
            </w:pPr>
          </w:p>
        </w:tc>
      </w:tr>
    </w:tbl>
    <w:p w14:paraId="5F584C4B" w14:textId="77777777" w:rsidR="002F0AFA" w:rsidRPr="00A30683" w:rsidRDefault="002F0AFA" w:rsidP="003D4640">
      <w:pPr>
        <w:rPr>
          <w:rFonts w:ascii="Calibri" w:hAnsi="Calibri"/>
          <w:sz w:val="20"/>
          <w:szCs w:val="20"/>
          <w:u w:val="single"/>
        </w:rPr>
      </w:pPr>
    </w:p>
    <w:p w14:paraId="456C170B" w14:textId="77777777" w:rsidR="00DB5DDF" w:rsidRPr="00117F3C" w:rsidRDefault="00DB5DDF" w:rsidP="003D4640">
      <w:pPr>
        <w:pStyle w:val="ListParagraph"/>
        <w:numPr>
          <w:ilvl w:val="0"/>
          <w:numId w:val="1"/>
        </w:numPr>
        <w:ind w:left="360"/>
        <w:rPr>
          <w:rFonts w:ascii="Times New Roman" w:eastAsia="Times New Roman" w:hAnsi="Times New Roman" w:cs="Times New Roman"/>
          <w:sz w:val="24"/>
          <w:szCs w:val="24"/>
        </w:rPr>
      </w:pPr>
      <w:r w:rsidRPr="00ED3877">
        <w:rPr>
          <w:rFonts w:ascii="Arial" w:eastAsia="Times New Roman" w:hAnsi="Arial" w:cs="Arial"/>
          <w:color w:val="000000"/>
        </w:rPr>
        <w:t xml:space="preserve">In what course(s) did you get </w:t>
      </w:r>
      <w:r w:rsidR="00117F3C">
        <w:rPr>
          <w:rFonts w:ascii="Arial" w:eastAsia="Times New Roman" w:hAnsi="Arial" w:cs="Arial"/>
          <w:color w:val="000000"/>
        </w:rPr>
        <w:t xml:space="preserve">a midterm unsatisfactory grade? </w:t>
      </w:r>
      <w:r w:rsidR="00117F3C" w:rsidRPr="00117F3C">
        <w:rPr>
          <w:rFonts w:ascii="Arial" w:eastAsia="Times New Roman" w:hAnsi="Arial" w:cs="Arial"/>
          <w:color w:val="000000"/>
        </w:rPr>
        <w:t xml:space="preserve">(To check your grades online, log in to </w:t>
      </w:r>
      <w:proofErr w:type="spellStart"/>
      <w:r w:rsidR="00117F3C" w:rsidRPr="00117F3C">
        <w:rPr>
          <w:rFonts w:ascii="Arial" w:eastAsia="Times New Roman" w:hAnsi="Arial" w:cs="Arial"/>
          <w:color w:val="000000"/>
        </w:rPr>
        <w:t>BuzzPort</w:t>
      </w:r>
      <w:proofErr w:type="spellEnd"/>
      <w:r w:rsidR="00117F3C" w:rsidRPr="00117F3C">
        <w:rPr>
          <w:rFonts w:ascii="Arial" w:eastAsia="Times New Roman" w:hAnsi="Arial" w:cs="Arial"/>
          <w:color w:val="000000"/>
        </w:rPr>
        <w:t xml:space="preserve"> with your Georgia Tech Account username and password and select “Registration – OSCAR.”)</w:t>
      </w:r>
    </w:p>
    <w:tbl>
      <w:tblPr>
        <w:tblStyle w:val="TableGrid"/>
        <w:tblW w:w="0" w:type="auto"/>
        <w:tblLook w:val="04A0" w:firstRow="1" w:lastRow="0" w:firstColumn="1" w:lastColumn="0" w:noHBand="0" w:noVBand="1"/>
      </w:tblPr>
      <w:tblGrid>
        <w:gridCol w:w="14390"/>
      </w:tblGrid>
      <w:tr w:rsidR="00BA0C07" w14:paraId="7B73F3BF" w14:textId="77777777" w:rsidTr="004A74B1">
        <w:trPr>
          <w:tblHeader/>
        </w:trPr>
        <w:tc>
          <w:tcPr>
            <w:tcW w:w="14390" w:type="dxa"/>
          </w:tcPr>
          <w:p w14:paraId="0BA6FC57" w14:textId="77777777" w:rsidR="00BA0C07" w:rsidRDefault="00BA0C07" w:rsidP="003D4640">
            <w:pPr>
              <w:rPr>
                <w:rFonts w:ascii="Times New Roman" w:eastAsia="Times New Roman" w:hAnsi="Times New Roman" w:cs="Times New Roman"/>
                <w:sz w:val="24"/>
                <w:szCs w:val="24"/>
              </w:rPr>
            </w:pPr>
          </w:p>
          <w:p w14:paraId="4645B66B" w14:textId="43721BF2" w:rsidR="00BA0C07" w:rsidRDefault="00BA0C07" w:rsidP="003D4640">
            <w:pPr>
              <w:rPr>
                <w:rFonts w:ascii="Times New Roman" w:eastAsia="Times New Roman" w:hAnsi="Times New Roman" w:cs="Times New Roman"/>
                <w:sz w:val="24"/>
                <w:szCs w:val="24"/>
              </w:rPr>
            </w:pPr>
          </w:p>
        </w:tc>
      </w:tr>
    </w:tbl>
    <w:p w14:paraId="0EF8CBD9" w14:textId="2A5ACE2A" w:rsidR="00117F3C" w:rsidRPr="00CC76A8" w:rsidRDefault="00117F3C" w:rsidP="003D4640">
      <w:pPr>
        <w:rPr>
          <w:rFonts w:ascii="Times New Roman" w:eastAsia="Times New Roman" w:hAnsi="Times New Roman" w:cs="Times New Roman"/>
          <w:sz w:val="16"/>
          <w:szCs w:val="16"/>
        </w:rPr>
      </w:pPr>
    </w:p>
    <w:p w14:paraId="1B2D421F" w14:textId="356DB9BD" w:rsidR="00632099" w:rsidRPr="00E61F32" w:rsidRDefault="00FB6B15" w:rsidP="00632099">
      <w:pPr>
        <w:pStyle w:val="ListParagraph"/>
        <w:numPr>
          <w:ilvl w:val="0"/>
          <w:numId w:val="1"/>
        </w:numPr>
        <w:ind w:left="360"/>
        <w:rPr>
          <w:rFonts w:ascii="Arial" w:eastAsia="Times New Roman" w:hAnsi="Arial" w:cs="Arial"/>
          <w:i/>
          <w:iCs/>
          <w:color w:val="000000"/>
        </w:rPr>
      </w:pPr>
      <w:r>
        <w:rPr>
          <w:rFonts w:ascii="Arial" w:eastAsia="Times New Roman" w:hAnsi="Arial" w:cs="Arial"/>
          <w:color w:val="000000"/>
        </w:rPr>
        <w:t>Reflect on how things are going in the course(s</w:t>
      </w:r>
      <w:proofErr w:type="gramStart"/>
      <w:r w:rsidR="00632099">
        <w:rPr>
          <w:rFonts w:ascii="Arial" w:eastAsia="Times New Roman" w:hAnsi="Arial" w:cs="Arial"/>
          <w:color w:val="000000"/>
        </w:rPr>
        <w:t>), and</w:t>
      </w:r>
      <w:proofErr w:type="gramEnd"/>
      <w:r w:rsidR="00632099">
        <w:rPr>
          <w:rFonts w:ascii="Arial" w:eastAsia="Times New Roman" w:hAnsi="Arial" w:cs="Arial"/>
          <w:color w:val="000000"/>
        </w:rPr>
        <w:t xml:space="preserve"> fill out the grid to help you evaluate what behaviors are helping or hindering your success.</w:t>
      </w:r>
      <w:r w:rsidR="00E61F32">
        <w:rPr>
          <w:rFonts w:ascii="Arial" w:eastAsia="Times New Roman" w:hAnsi="Arial" w:cs="Arial"/>
          <w:color w:val="000000"/>
        </w:rPr>
        <w:t xml:space="preserve"> </w:t>
      </w:r>
      <w:r w:rsidR="00E61F32" w:rsidRPr="00E61F32">
        <w:rPr>
          <w:rFonts w:ascii="Arial" w:eastAsia="Times New Roman" w:hAnsi="Arial" w:cs="Arial"/>
          <w:i/>
          <w:iCs/>
          <w:color w:val="000000"/>
        </w:rPr>
        <w:t>See the list of resources on the last page of this form to help you build a plan of action in response to a Midterm U.</w:t>
      </w:r>
    </w:p>
    <w:tbl>
      <w:tblPr>
        <w:tblStyle w:val="TableGrid"/>
        <w:tblW w:w="5000" w:type="pct"/>
        <w:tblLook w:val="04A0" w:firstRow="1" w:lastRow="0" w:firstColumn="1" w:lastColumn="0" w:noHBand="0" w:noVBand="1"/>
      </w:tblPr>
      <w:tblGrid>
        <w:gridCol w:w="1343"/>
        <w:gridCol w:w="4349"/>
        <w:gridCol w:w="4349"/>
        <w:gridCol w:w="4349"/>
      </w:tblGrid>
      <w:tr w:rsidR="005843D5" w14:paraId="06AAA640" w14:textId="77777777" w:rsidTr="004A74B1">
        <w:trPr>
          <w:tblHeader/>
        </w:trPr>
        <w:tc>
          <w:tcPr>
            <w:tcW w:w="467" w:type="pct"/>
          </w:tcPr>
          <w:p w14:paraId="09A4EC1F" w14:textId="77777777" w:rsidR="005843D5" w:rsidRDefault="005843D5" w:rsidP="003D4640">
            <w:pPr>
              <w:rPr>
                <w:rFonts w:ascii="Arial" w:eastAsia="Times New Roman" w:hAnsi="Arial" w:cs="Arial"/>
                <w:color w:val="000000"/>
              </w:rPr>
            </w:pPr>
          </w:p>
        </w:tc>
        <w:tc>
          <w:tcPr>
            <w:tcW w:w="1511" w:type="pct"/>
          </w:tcPr>
          <w:p w14:paraId="17031C88" w14:textId="586120E3" w:rsidR="005843D5" w:rsidRPr="005865C0" w:rsidRDefault="005843D5" w:rsidP="00A83D7A">
            <w:pPr>
              <w:jc w:val="center"/>
              <w:rPr>
                <w:rFonts w:ascii="Arial" w:eastAsia="Times New Roman" w:hAnsi="Arial" w:cs="Arial"/>
                <w:b/>
                <w:color w:val="000000"/>
              </w:rPr>
            </w:pPr>
            <w:r w:rsidRPr="005865C0">
              <w:rPr>
                <w:rFonts w:ascii="Arial" w:eastAsia="Times New Roman" w:hAnsi="Arial" w:cs="Arial"/>
                <w:b/>
                <w:color w:val="000000"/>
              </w:rPr>
              <w:t>Helping my success</w:t>
            </w:r>
          </w:p>
        </w:tc>
        <w:tc>
          <w:tcPr>
            <w:tcW w:w="1511" w:type="pct"/>
          </w:tcPr>
          <w:p w14:paraId="6D6A5AE1" w14:textId="52EB9C9E" w:rsidR="005843D5" w:rsidRPr="005865C0" w:rsidRDefault="005843D5" w:rsidP="00A83D7A">
            <w:pPr>
              <w:jc w:val="center"/>
              <w:rPr>
                <w:rFonts w:ascii="Arial" w:eastAsia="Times New Roman" w:hAnsi="Arial" w:cs="Arial"/>
                <w:b/>
                <w:color w:val="000000"/>
              </w:rPr>
            </w:pPr>
            <w:r w:rsidRPr="005865C0">
              <w:rPr>
                <w:rFonts w:ascii="Arial" w:eastAsia="Times New Roman" w:hAnsi="Arial" w:cs="Arial"/>
                <w:b/>
                <w:color w:val="000000"/>
              </w:rPr>
              <w:t>Harming my success</w:t>
            </w:r>
          </w:p>
        </w:tc>
        <w:tc>
          <w:tcPr>
            <w:tcW w:w="1511" w:type="pct"/>
          </w:tcPr>
          <w:p w14:paraId="242D62E6" w14:textId="3B7204E3" w:rsidR="005843D5" w:rsidRPr="005865C0" w:rsidRDefault="002E09C5" w:rsidP="00A83D7A">
            <w:pPr>
              <w:jc w:val="center"/>
              <w:rPr>
                <w:rFonts w:ascii="Arial" w:eastAsia="Times New Roman" w:hAnsi="Arial" w:cs="Arial"/>
                <w:b/>
                <w:color w:val="000000"/>
              </w:rPr>
            </w:pPr>
            <w:r>
              <w:rPr>
                <w:rFonts w:ascii="Arial" w:eastAsia="Times New Roman" w:hAnsi="Arial" w:cs="Arial"/>
                <w:b/>
                <w:color w:val="000000"/>
              </w:rPr>
              <w:t>Things</w:t>
            </w:r>
            <w:r w:rsidR="005843D5" w:rsidRPr="005865C0">
              <w:rPr>
                <w:rFonts w:ascii="Arial" w:eastAsia="Times New Roman" w:hAnsi="Arial" w:cs="Arial"/>
                <w:b/>
                <w:color w:val="000000"/>
              </w:rPr>
              <w:t xml:space="preserve"> I will </w:t>
            </w:r>
            <w:r w:rsidR="005843D5">
              <w:rPr>
                <w:rFonts w:ascii="Arial" w:eastAsia="Times New Roman" w:hAnsi="Arial" w:cs="Arial"/>
                <w:b/>
                <w:color w:val="000000"/>
              </w:rPr>
              <w:t>change</w:t>
            </w:r>
          </w:p>
        </w:tc>
      </w:tr>
      <w:tr w:rsidR="005843D5" w14:paraId="5CBA08EB" w14:textId="77777777" w:rsidTr="00CF34FF">
        <w:trPr>
          <w:trHeight w:val="1700"/>
        </w:trPr>
        <w:tc>
          <w:tcPr>
            <w:tcW w:w="467" w:type="pct"/>
            <w:vAlign w:val="center"/>
          </w:tcPr>
          <w:p w14:paraId="5BB88C23" w14:textId="6E0469C1" w:rsidR="005843D5" w:rsidRPr="005865C0" w:rsidRDefault="005843D5" w:rsidP="003D4640">
            <w:pPr>
              <w:rPr>
                <w:rFonts w:ascii="Arial" w:eastAsia="Times New Roman" w:hAnsi="Arial" w:cs="Arial"/>
                <w:b/>
                <w:color w:val="000000"/>
              </w:rPr>
            </w:pPr>
            <w:r w:rsidRPr="005865C0">
              <w:rPr>
                <w:rFonts w:ascii="Arial" w:eastAsia="Times New Roman" w:hAnsi="Arial" w:cs="Arial"/>
                <w:b/>
                <w:color w:val="000000"/>
              </w:rPr>
              <w:t>Academic behaviors</w:t>
            </w:r>
          </w:p>
        </w:tc>
        <w:tc>
          <w:tcPr>
            <w:tcW w:w="1511" w:type="pct"/>
          </w:tcPr>
          <w:p w14:paraId="51E4FEF8" w14:textId="2A18D0EA" w:rsidR="005843D5" w:rsidRPr="005865C0" w:rsidRDefault="005843D5" w:rsidP="00CF34FF">
            <w:pPr>
              <w:rPr>
                <w:rFonts w:ascii="Arial" w:eastAsia="Times New Roman" w:hAnsi="Arial" w:cs="Arial"/>
                <w:color w:val="000000"/>
              </w:rPr>
            </w:pPr>
          </w:p>
        </w:tc>
        <w:tc>
          <w:tcPr>
            <w:tcW w:w="1511" w:type="pct"/>
          </w:tcPr>
          <w:p w14:paraId="59164B48" w14:textId="77777777" w:rsidR="005843D5" w:rsidRPr="005865C0" w:rsidRDefault="005843D5" w:rsidP="003D4640">
            <w:pPr>
              <w:rPr>
                <w:rFonts w:ascii="Arial" w:eastAsia="Times New Roman" w:hAnsi="Arial" w:cs="Arial"/>
                <w:color w:val="000000"/>
              </w:rPr>
            </w:pPr>
          </w:p>
        </w:tc>
        <w:tc>
          <w:tcPr>
            <w:tcW w:w="1511" w:type="pct"/>
          </w:tcPr>
          <w:p w14:paraId="4752E52B" w14:textId="77777777" w:rsidR="005843D5" w:rsidRPr="005865C0" w:rsidRDefault="005843D5" w:rsidP="003D4640">
            <w:pPr>
              <w:rPr>
                <w:rFonts w:ascii="Arial" w:eastAsia="Times New Roman" w:hAnsi="Arial" w:cs="Arial"/>
                <w:color w:val="000000"/>
              </w:rPr>
            </w:pPr>
          </w:p>
        </w:tc>
      </w:tr>
      <w:tr w:rsidR="005843D5" w14:paraId="46E576AC" w14:textId="77777777" w:rsidTr="00CF34FF">
        <w:trPr>
          <w:trHeight w:val="1790"/>
        </w:trPr>
        <w:tc>
          <w:tcPr>
            <w:tcW w:w="467" w:type="pct"/>
            <w:vAlign w:val="center"/>
          </w:tcPr>
          <w:p w14:paraId="67F4F875" w14:textId="6E5192A7" w:rsidR="005843D5" w:rsidRPr="005865C0" w:rsidRDefault="005843D5" w:rsidP="003D4640">
            <w:pPr>
              <w:rPr>
                <w:rFonts w:ascii="Arial" w:eastAsia="Times New Roman" w:hAnsi="Arial" w:cs="Arial"/>
                <w:b/>
                <w:color w:val="000000"/>
              </w:rPr>
            </w:pPr>
            <w:r w:rsidRPr="005865C0">
              <w:rPr>
                <w:rFonts w:ascii="Arial" w:eastAsia="Times New Roman" w:hAnsi="Arial" w:cs="Arial"/>
                <w:b/>
                <w:color w:val="000000"/>
              </w:rPr>
              <w:t>Personal behaviors</w:t>
            </w:r>
          </w:p>
        </w:tc>
        <w:tc>
          <w:tcPr>
            <w:tcW w:w="1511" w:type="pct"/>
          </w:tcPr>
          <w:p w14:paraId="3BEC9F95" w14:textId="359D9C85" w:rsidR="005843D5" w:rsidRDefault="005843D5" w:rsidP="00CF34FF">
            <w:pPr>
              <w:rPr>
                <w:rFonts w:ascii="Arial" w:eastAsia="Times New Roman" w:hAnsi="Arial" w:cs="Arial"/>
                <w:color w:val="000000"/>
              </w:rPr>
            </w:pPr>
          </w:p>
        </w:tc>
        <w:tc>
          <w:tcPr>
            <w:tcW w:w="1511" w:type="pct"/>
          </w:tcPr>
          <w:p w14:paraId="7FB2F35D" w14:textId="77777777" w:rsidR="005843D5" w:rsidRDefault="005843D5" w:rsidP="003D4640">
            <w:pPr>
              <w:rPr>
                <w:rFonts w:ascii="Arial" w:eastAsia="Times New Roman" w:hAnsi="Arial" w:cs="Arial"/>
                <w:color w:val="000000"/>
              </w:rPr>
            </w:pPr>
          </w:p>
        </w:tc>
        <w:tc>
          <w:tcPr>
            <w:tcW w:w="1511" w:type="pct"/>
          </w:tcPr>
          <w:p w14:paraId="0F2F27A1" w14:textId="77777777" w:rsidR="005843D5" w:rsidRDefault="005843D5" w:rsidP="003D4640">
            <w:pPr>
              <w:rPr>
                <w:rFonts w:ascii="Arial" w:eastAsia="Times New Roman" w:hAnsi="Arial" w:cs="Arial"/>
                <w:color w:val="000000"/>
              </w:rPr>
            </w:pPr>
          </w:p>
        </w:tc>
      </w:tr>
    </w:tbl>
    <w:p w14:paraId="1E823DDD" w14:textId="77777777" w:rsidR="00FB6B15" w:rsidRPr="000057D8" w:rsidRDefault="00FB6B15" w:rsidP="003D4640">
      <w:pPr>
        <w:rPr>
          <w:rFonts w:ascii="Times New Roman" w:eastAsia="Times New Roman" w:hAnsi="Times New Roman" w:cs="Times New Roman"/>
          <w:sz w:val="14"/>
          <w:szCs w:val="14"/>
        </w:rPr>
      </w:pPr>
    </w:p>
    <w:p w14:paraId="4B953B8C" w14:textId="4F58D8CE" w:rsidR="00DB5DDF" w:rsidRPr="00ED3877" w:rsidRDefault="00DB5DDF" w:rsidP="003D4640">
      <w:pPr>
        <w:pStyle w:val="ListParagraph"/>
        <w:numPr>
          <w:ilvl w:val="0"/>
          <w:numId w:val="1"/>
        </w:numPr>
        <w:ind w:left="360"/>
        <w:rPr>
          <w:rFonts w:ascii="Times New Roman" w:eastAsia="Times New Roman" w:hAnsi="Times New Roman" w:cs="Times New Roman"/>
          <w:sz w:val="24"/>
          <w:szCs w:val="24"/>
        </w:rPr>
      </w:pPr>
      <w:r w:rsidRPr="00ED3877">
        <w:rPr>
          <w:rFonts w:ascii="Arial" w:eastAsia="Times New Roman" w:hAnsi="Arial" w:cs="Arial"/>
          <w:color w:val="000000"/>
        </w:rPr>
        <w:t xml:space="preserve">What </w:t>
      </w:r>
      <w:r w:rsidR="00E93092" w:rsidRPr="00ED3877">
        <w:rPr>
          <w:rFonts w:ascii="Arial" w:eastAsia="Times New Roman" w:hAnsi="Arial" w:cs="Arial"/>
          <w:color w:val="000000"/>
        </w:rPr>
        <w:t xml:space="preserve">other </w:t>
      </w:r>
      <w:r w:rsidRPr="00ED3877">
        <w:rPr>
          <w:rFonts w:ascii="Arial" w:eastAsia="Times New Roman" w:hAnsi="Arial" w:cs="Arial"/>
          <w:color w:val="000000"/>
        </w:rPr>
        <w:t>questions or concerns do you want to discuss in this meeting?</w:t>
      </w:r>
    </w:p>
    <w:tbl>
      <w:tblPr>
        <w:tblStyle w:val="TableGrid"/>
        <w:tblW w:w="0" w:type="auto"/>
        <w:tblLook w:val="04A0" w:firstRow="1" w:lastRow="0" w:firstColumn="1" w:lastColumn="0" w:noHBand="0" w:noVBand="1"/>
      </w:tblPr>
      <w:tblGrid>
        <w:gridCol w:w="14390"/>
      </w:tblGrid>
      <w:tr w:rsidR="00FB6B15" w14:paraId="501AE3D7" w14:textId="77777777" w:rsidTr="004A74B1">
        <w:trPr>
          <w:trHeight w:val="818"/>
          <w:tblHeader/>
        </w:trPr>
        <w:tc>
          <w:tcPr>
            <w:tcW w:w="14390" w:type="dxa"/>
          </w:tcPr>
          <w:p w14:paraId="49A4BE07" w14:textId="1AF2F866" w:rsidR="00FB6B15" w:rsidRDefault="00FB6B15" w:rsidP="003D4640">
            <w:pPr>
              <w:rPr>
                <w:rFonts w:ascii="Times New Roman" w:eastAsia="Times New Roman" w:hAnsi="Times New Roman" w:cs="Times New Roman"/>
                <w:sz w:val="24"/>
                <w:szCs w:val="24"/>
              </w:rPr>
            </w:pPr>
          </w:p>
        </w:tc>
      </w:tr>
    </w:tbl>
    <w:p w14:paraId="4CBA6913" w14:textId="77777777" w:rsidR="00FB6B15" w:rsidRDefault="00FB6B15" w:rsidP="003D4640">
      <w:pPr>
        <w:rPr>
          <w:rFonts w:ascii="Calibri" w:hAnsi="Calibri"/>
          <w:sz w:val="20"/>
          <w:szCs w:val="20"/>
        </w:rPr>
      </w:pPr>
    </w:p>
    <w:p w14:paraId="1375B8CD" w14:textId="75FCFA88" w:rsidR="00CC76A8" w:rsidRPr="00CC76A8" w:rsidRDefault="00DB5DDF" w:rsidP="00CC76A8">
      <w:pPr>
        <w:rPr>
          <w:rFonts w:ascii="Calibri" w:hAnsi="Calibri"/>
          <w:sz w:val="20"/>
          <w:szCs w:val="20"/>
        </w:rPr>
      </w:pPr>
      <w:r w:rsidRPr="0030090F">
        <w:rPr>
          <w:rFonts w:ascii="Calibri" w:hAnsi="Calibri"/>
          <w:sz w:val="20"/>
          <w:szCs w:val="20"/>
        </w:rPr>
        <w:t>ADVISOR NOTES:</w:t>
      </w:r>
    </w:p>
    <w:tbl>
      <w:tblPr>
        <w:tblStyle w:val="TableGrid"/>
        <w:tblW w:w="14395" w:type="dxa"/>
        <w:tblLook w:val="04A0" w:firstRow="1" w:lastRow="0" w:firstColumn="1" w:lastColumn="0" w:noHBand="0" w:noVBand="1"/>
      </w:tblPr>
      <w:tblGrid>
        <w:gridCol w:w="14395"/>
      </w:tblGrid>
      <w:tr w:rsidR="00CC76A8" w14:paraId="2491B37A" w14:textId="77777777" w:rsidTr="004A74B1">
        <w:trPr>
          <w:trHeight w:val="917"/>
          <w:tblHeader/>
        </w:trPr>
        <w:tc>
          <w:tcPr>
            <w:tcW w:w="14395" w:type="dxa"/>
          </w:tcPr>
          <w:p w14:paraId="4D03C462" w14:textId="77777777" w:rsidR="00CC76A8" w:rsidRDefault="00CC76A8" w:rsidP="00A26B76">
            <w:pPr>
              <w:rPr>
                <w:rFonts w:ascii="Times New Roman" w:eastAsia="Times New Roman" w:hAnsi="Times New Roman" w:cs="Times New Roman"/>
                <w:sz w:val="24"/>
                <w:szCs w:val="24"/>
              </w:rPr>
            </w:pPr>
          </w:p>
        </w:tc>
      </w:tr>
    </w:tbl>
    <w:p w14:paraId="19353C5A" w14:textId="05E1B044" w:rsidR="00E61F32" w:rsidRDefault="00E61F32" w:rsidP="003C7DCB">
      <w:pPr>
        <w:rPr>
          <w:rFonts w:ascii="Calibri" w:hAnsi="Calibri"/>
          <w:sz w:val="14"/>
          <w:szCs w:val="14"/>
        </w:rPr>
      </w:pPr>
    </w:p>
    <w:p w14:paraId="23282A71" w14:textId="77777777" w:rsidR="000654A7" w:rsidRDefault="000654A7" w:rsidP="003C7DCB">
      <w:pPr>
        <w:rPr>
          <w:rFonts w:ascii="Calibri" w:hAnsi="Calibri"/>
          <w:sz w:val="14"/>
          <w:szCs w:val="14"/>
        </w:rPr>
      </w:pPr>
    </w:p>
    <w:p w14:paraId="4382BAF8" w14:textId="27653505" w:rsidR="000654A7" w:rsidRDefault="000654A7" w:rsidP="003C7DCB">
      <w:pPr>
        <w:rPr>
          <w:rFonts w:ascii="Calibri" w:hAnsi="Calibri"/>
          <w:i/>
          <w:iCs/>
          <w:sz w:val="28"/>
          <w:szCs w:val="28"/>
        </w:rPr>
      </w:pPr>
      <w:r w:rsidRPr="000654A7">
        <w:rPr>
          <w:rFonts w:ascii="Calibri" w:hAnsi="Calibri"/>
          <w:b/>
          <w:bCs/>
          <w:i/>
          <w:iCs/>
          <w:sz w:val="28"/>
          <w:szCs w:val="28"/>
        </w:rPr>
        <w:t>List of resources follows on next page</w:t>
      </w:r>
    </w:p>
    <w:p w14:paraId="74984866" w14:textId="77777777" w:rsidR="000654A7" w:rsidRDefault="000654A7" w:rsidP="003C7DCB">
      <w:pPr>
        <w:rPr>
          <w:rFonts w:ascii="Calibri" w:hAnsi="Calibri"/>
          <w:i/>
          <w:iCs/>
          <w:sz w:val="28"/>
          <w:szCs w:val="28"/>
        </w:rPr>
      </w:pPr>
    </w:p>
    <w:p w14:paraId="21D475A4" w14:textId="77777777" w:rsidR="000654A7" w:rsidRDefault="000654A7" w:rsidP="000654A7">
      <w:pPr>
        <w:spacing w:before="100" w:beforeAutospacing="1" w:after="100" w:afterAutospacing="1"/>
        <w:rPr>
          <w:rFonts w:cstheme="minorHAnsi"/>
        </w:rPr>
      </w:pPr>
    </w:p>
    <w:p w14:paraId="3679C591" w14:textId="0D1C43B1" w:rsidR="000654A7" w:rsidRDefault="000654A7" w:rsidP="000654A7">
      <w:pPr>
        <w:spacing w:before="100" w:beforeAutospacing="1" w:after="100" w:afterAutospacing="1"/>
        <w:rPr>
          <w:rFonts w:cstheme="minorHAnsi"/>
        </w:rPr>
      </w:pPr>
      <w:r>
        <w:rPr>
          <w:rFonts w:cstheme="minorHAnsi"/>
        </w:rPr>
        <w:t>The offices and resources below can help you create a plan of action in response to a Midterm U:</w:t>
      </w:r>
    </w:p>
    <w:p w14:paraId="1A988CB4" w14:textId="4D7D9D98" w:rsidR="000654A7" w:rsidRPr="000654A7" w:rsidRDefault="000654A7" w:rsidP="000654A7">
      <w:pPr>
        <w:numPr>
          <w:ilvl w:val="0"/>
          <w:numId w:val="2"/>
        </w:numPr>
        <w:spacing w:before="100" w:beforeAutospacing="1" w:after="100" w:afterAutospacing="1"/>
        <w:rPr>
          <w:rFonts w:cstheme="minorHAnsi"/>
        </w:rPr>
      </w:pPr>
      <w:hyperlink r:id="rId7" w:tgtFrame="_blank" w:history="1">
        <w:r w:rsidRPr="000654A7">
          <w:rPr>
            <w:rStyle w:val="Hyperlink"/>
            <w:rFonts w:cstheme="minorHAnsi"/>
          </w:rPr>
          <w:t>Academic Coaching</w:t>
        </w:r>
      </w:hyperlink>
      <w:r w:rsidRPr="000654A7">
        <w:rPr>
          <w:rFonts w:cstheme="minorHAnsi"/>
        </w:rPr>
        <w:t xml:space="preserve"> </w:t>
      </w:r>
      <w:r>
        <w:rPr>
          <w:rFonts w:cstheme="minorHAnsi"/>
        </w:rPr>
        <w:t xml:space="preserve">with a professional academic coach can help you target </w:t>
      </w:r>
      <w:r w:rsidRPr="000654A7">
        <w:rPr>
          <w:rFonts w:cstheme="minorHAnsi"/>
        </w:rPr>
        <w:t xml:space="preserve">study skills and habits, motivation, and other </w:t>
      </w:r>
      <w:proofErr w:type="gramStart"/>
      <w:r w:rsidRPr="000654A7">
        <w:rPr>
          <w:rFonts w:cstheme="minorHAnsi"/>
        </w:rPr>
        <w:t>academics</w:t>
      </w:r>
      <w:proofErr w:type="gramEnd"/>
      <w:r w:rsidRPr="000654A7">
        <w:rPr>
          <w:rFonts w:cstheme="minorHAnsi"/>
        </w:rPr>
        <w:t xml:space="preserve">-related activities.  Many resources are available as </w:t>
      </w:r>
      <w:hyperlink r:id="rId8" w:tgtFrame="_blank" w:history="1">
        <w:r w:rsidRPr="000654A7">
          <w:rPr>
            <w:rStyle w:val="Hyperlink"/>
            <w:rFonts w:cstheme="minorHAnsi"/>
          </w:rPr>
          <w:t>on-demand</w:t>
        </w:r>
        <w:r w:rsidRPr="000654A7">
          <w:rPr>
            <w:rStyle w:val="Hyperlink"/>
            <w:rFonts w:cstheme="minorHAnsi"/>
          </w:rPr>
          <w:t xml:space="preserve"> </w:t>
        </w:r>
        <w:r w:rsidRPr="000654A7">
          <w:rPr>
            <w:rStyle w:val="Hyperlink"/>
            <w:rFonts w:cstheme="minorHAnsi"/>
          </w:rPr>
          <w:t>workshops</w:t>
        </w:r>
      </w:hyperlink>
      <w:r w:rsidRPr="000654A7">
        <w:rPr>
          <w:rFonts w:cstheme="minorHAnsi"/>
        </w:rPr>
        <w:t xml:space="preserve">, and downloadable </w:t>
      </w:r>
      <w:hyperlink r:id="rId9" w:tgtFrame="_blank" w:history="1">
        <w:r w:rsidRPr="000654A7">
          <w:rPr>
            <w:rStyle w:val="Hyperlink"/>
            <w:rFonts w:cstheme="minorHAnsi"/>
          </w:rPr>
          <w:t xml:space="preserve">resources </w:t>
        </w:r>
        <w:r w:rsidRPr="000654A7">
          <w:rPr>
            <w:rStyle w:val="Hyperlink"/>
            <w:rFonts w:cstheme="minorHAnsi"/>
          </w:rPr>
          <w:t>a</w:t>
        </w:r>
        <w:r w:rsidRPr="000654A7">
          <w:rPr>
            <w:rStyle w:val="Hyperlink"/>
            <w:rFonts w:cstheme="minorHAnsi"/>
          </w:rPr>
          <w:t>nd worksheets</w:t>
        </w:r>
      </w:hyperlink>
      <w:r w:rsidRPr="000654A7">
        <w:rPr>
          <w:rFonts w:cstheme="minorHAnsi"/>
        </w:rPr>
        <w:t>.</w:t>
      </w:r>
    </w:p>
    <w:p w14:paraId="695AA76F" w14:textId="7610D70B" w:rsidR="000654A7" w:rsidRPr="000654A7" w:rsidRDefault="000654A7" w:rsidP="000654A7">
      <w:pPr>
        <w:numPr>
          <w:ilvl w:val="0"/>
          <w:numId w:val="2"/>
        </w:numPr>
        <w:spacing w:before="100" w:beforeAutospacing="1" w:after="100" w:afterAutospacing="1"/>
        <w:rPr>
          <w:rFonts w:cstheme="minorHAnsi"/>
        </w:rPr>
      </w:pPr>
      <w:hyperlink r:id="rId10" w:tgtFrame="_blank" w:history="1">
        <w:r w:rsidRPr="000654A7">
          <w:rPr>
            <w:rStyle w:val="Hyperlink"/>
            <w:rFonts w:cstheme="minorHAnsi"/>
          </w:rPr>
          <w:t>Peer-Led Undergraduate Stud</w:t>
        </w:r>
        <w:r w:rsidRPr="000654A7">
          <w:rPr>
            <w:rStyle w:val="Hyperlink"/>
            <w:rFonts w:cstheme="minorHAnsi"/>
          </w:rPr>
          <w:t>y</w:t>
        </w:r>
        <w:r w:rsidRPr="000654A7">
          <w:rPr>
            <w:rStyle w:val="Hyperlink"/>
            <w:rFonts w:cstheme="minorHAnsi"/>
          </w:rPr>
          <w:t xml:space="preserve"> Sessions</w:t>
        </w:r>
      </w:hyperlink>
      <w:r>
        <w:rPr>
          <w:rFonts w:cstheme="minorHAnsi"/>
        </w:rPr>
        <w:t xml:space="preserve"> covering i</w:t>
      </w:r>
      <w:r w:rsidRPr="000654A7">
        <w:rPr>
          <w:rFonts w:cstheme="minorHAnsi"/>
        </w:rPr>
        <w:t>ntroductory chemistry, mathematics, economics, and physics courses, among others</w:t>
      </w:r>
      <w:r>
        <w:rPr>
          <w:rFonts w:cstheme="minorHAnsi"/>
        </w:rPr>
        <w:t xml:space="preserve">, are </w:t>
      </w:r>
      <w:r w:rsidRPr="000654A7">
        <w:rPr>
          <w:rFonts w:cstheme="minorHAnsi"/>
        </w:rPr>
        <w:t>staffed by trained teaching assistants who can help answer your questions about how to study for the courses and will help you solve problems. </w:t>
      </w:r>
    </w:p>
    <w:p w14:paraId="55D6498E" w14:textId="59D7DEE1" w:rsidR="000654A7" w:rsidRPr="000654A7" w:rsidRDefault="000654A7" w:rsidP="000654A7">
      <w:pPr>
        <w:numPr>
          <w:ilvl w:val="0"/>
          <w:numId w:val="2"/>
        </w:numPr>
        <w:spacing w:before="100" w:beforeAutospacing="1" w:after="100" w:afterAutospacing="1"/>
        <w:rPr>
          <w:rFonts w:cstheme="minorHAnsi"/>
        </w:rPr>
      </w:pPr>
      <w:r w:rsidRPr="000654A7">
        <w:rPr>
          <w:rFonts w:cstheme="minorHAnsi"/>
        </w:rPr>
        <w:t xml:space="preserve">Tutoring is available through </w:t>
      </w:r>
      <w:hyperlink r:id="rId11" w:tgtFrame="_blank" w:history="1">
        <w:r w:rsidRPr="000654A7">
          <w:rPr>
            <w:rStyle w:val="Hyperlink"/>
            <w:rFonts w:cstheme="minorHAnsi"/>
          </w:rPr>
          <w:t>Tutoring &amp; Aca</w:t>
        </w:r>
        <w:r w:rsidRPr="000654A7">
          <w:rPr>
            <w:rStyle w:val="Hyperlink"/>
            <w:rFonts w:cstheme="minorHAnsi"/>
          </w:rPr>
          <w:t>d</w:t>
        </w:r>
        <w:r w:rsidRPr="000654A7">
          <w:rPr>
            <w:rStyle w:val="Hyperlink"/>
            <w:rFonts w:cstheme="minorHAnsi"/>
          </w:rPr>
          <w:t>emic Support</w:t>
        </w:r>
      </w:hyperlink>
      <w:r w:rsidR="00161507">
        <w:rPr>
          <w:rFonts w:cstheme="minorHAnsi"/>
        </w:rPr>
        <w:t>, including 1-to-1 tutoring and drop-in tutoring.</w:t>
      </w:r>
    </w:p>
    <w:p w14:paraId="18D0AC92" w14:textId="71B45A31" w:rsidR="000654A7" w:rsidRPr="000654A7" w:rsidRDefault="000654A7" w:rsidP="000654A7">
      <w:pPr>
        <w:numPr>
          <w:ilvl w:val="0"/>
          <w:numId w:val="2"/>
        </w:numPr>
        <w:spacing w:before="100" w:beforeAutospacing="1" w:after="100" w:afterAutospacing="1"/>
        <w:rPr>
          <w:rFonts w:cstheme="minorHAnsi"/>
        </w:rPr>
      </w:pPr>
      <w:r>
        <w:rPr>
          <w:rFonts w:cstheme="minorHAnsi"/>
        </w:rPr>
        <w:t xml:space="preserve">The </w:t>
      </w:r>
      <w:hyperlink r:id="rId12" w:tgtFrame="_blank" w:history="1">
        <w:r w:rsidRPr="000654A7">
          <w:rPr>
            <w:rStyle w:val="Hyperlink"/>
            <w:rFonts w:cstheme="minorHAnsi"/>
          </w:rPr>
          <w:t>Com</w:t>
        </w:r>
        <w:r w:rsidRPr="000654A7">
          <w:rPr>
            <w:rStyle w:val="Hyperlink"/>
            <w:rFonts w:cstheme="minorHAnsi"/>
          </w:rPr>
          <w:t>m</w:t>
        </w:r>
        <w:r w:rsidRPr="000654A7">
          <w:rPr>
            <w:rStyle w:val="Hyperlink"/>
            <w:rFonts w:cstheme="minorHAnsi"/>
          </w:rPr>
          <w:t xml:space="preserve"> Lab</w:t>
        </w:r>
      </w:hyperlink>
      <w:r w:rsidRPr="000654A7">
        <w:rPr>
          <w:rFonts w:cstheme="minorHAnsi"/>
        </w:rPr>
        <w:t xml:space="preserve"> </w:t>
      </w:r>
      <w:r>
        <w:rPr>
          <w:rFonts w:cstheme="minorHAnsi"/>
        </w:rPr>
        <w:t>(</w:t>
      </w:r>
      <w:r w:rsidRPr="000654A7">
        <w:rPr>
          <w:rFonts w:cstheme="minorHAnsi"/>
        </w:rPr>
        <w:t>Communication Center</w:t>
      </w:r>
      <w:r>
        <w:rPr>
          <w:rFonts w:cstheme="minorHAnsi"/>
        </w:rPr>
        <w:t>)</w:t>
      </w:r>
      <w:r w:rsidRPr="000654A7">
        <w:rPr>
          <w:rFonts w:cstheme="minorHAnsi"/>
        </w:rPr>
        <w:t xml:space="preserve"> can help you with written, oral, visual, electronic, and other communication projects</w:t>
      </w:r>
    </w:p>
    <w:p w14:paraId="18792AAB" w14:textId="77777777" w:rsidR="000654A7" w:rsidRPr="000654A7" w:rsidRDefault="000654A7" w:rsidP="000654A7">
      <w:pPr>
        <w:numPr>
          <w:ilvl w:val="0"/>
          <w:numId w:val="2"/>
        </w:numPr>
        <w:spacing w:before="100" w:beforeAutospacing="1" w:after="100" w:afterAutospacing="1"/>
        <w:rPr>
          <w:rFonts w:cstheme="minorHAnsi"/>
        </w:rPr>
      </w:pPr>
      <w:r w:rsidRPr="000654A7">
        <w:rPr>
          <w:rFonts w:cstheme="minorHAnsi"/>
        </w:rPr>
        <w:t>It's also a great idea to visit your instructor's office hours for assistance with course content and study strategies.</w:t>
      </w:r>
    </w:p>
    <w:p w14:paraId="7B669C7D" w14:textId="73717BCB" w:rsidR="000654A7" w:rsidRPr="000654A7" w:rsidRDefault="000654A7" w:rsidP="000654A7">
      <w:pPr>
        <w:numPr>
          <w:ilvl w:val="0"/>
          <w:numId w:val="2"/>
        </w:numPr>
        <w:spacing w:before="100" w:beforeAutospacing="1" w:after="100" w:afterAutospacing="1"/>
        <w:rPr>
          <w:rFonts w:cstheme="minorHAnsi"/>
        </w:rPr>
      </w:pPr>
      <w:r w:rsidRPr="000654A7">
        <w:rPr>
          <w:rFonts w:cstheme="minorHAnsi"/>
        </w:rPr>
        <w:t xml:space="preserve">You may have heard of the Institute's </w:t>
      </w:r>
      <w:hyperlink r:id="rId13" w:history="1">
        <w:r w:rsidRPr="005B491F">
          <w:rPr>
            <w:rStyle w:val="Hyperlink"/>
            <w:rFonts w:cstheme="minorHAnsi"/>
          </w:rPr>
          <w:t>Grade S</w:t>
        </w:r>
        <w:r w:rsidRPr="005B491F">
          <w:rPr>
            <w:rStyle w:val="Hyperlink"/>
            <w:rFonts w:cstheme="minorHAnsi"/>
          </w:rPr>
          <w:t>u</w:t>
        </w:r>
        <w:r w:rsidRPr="005B491F">
          <w:rPr>
            <w:rStyle w:val="Hyperlink"/>
            <w:rFonts w:cstheme="minorHAnsi"/>
          </w:rPr>
          <w:t>bstitution</w:t>
        </w:r>
      </w:hyperlink>
      <w:r w:rsidRPr="000654A7">
        <w:rPr>
          <w:rFonts w:cstheme="minorHAnsi"/>
        </w:rPr>
        <w:t xml:space="preserve"> policy: If you earn the letter grade of D or F in a course at Georgia Tech, you can retake the course within one calendar year and replace your original grade. Students are eligible to grade-replace up to two courses throughout their academic career. There are some important limitations and caveats to understand about this policy: </w:t>
      </w:r>
    </w:p>
    <w:p w14:paraId="2A8E545C" w14:textId="77777777" w:rsidR="000654A7" w:rsidRPr="000654A7" w:rsidRDefault="000654A7" w:rsidP="000654A7">
      <w:pPr>
        <w:numPr>
          <w:ilvl w:val="1"/>
          <w:numId w:val="2"/>
        </w:numPr>
        <w:spacing w:before="100" w:beforeAutospacing="1" w:after="100" w:afterAutospacing="1"/>
        <w:rPr>
          <w:rFonts w:cstheme="minorHAnsi"/>
        </w:rPr>
      </w:pPr>
      <w:r w:rsidRPr="000654A7">
        <w:rPr>
          <w:rFonts w:cstheme="minorHAnsi"/>
        </w:rPr>
        <w:t>The original grade will still appear on your transcript.</w:t>
      </w:r>
    </w:p>
    <w:p w14:paraId="31470518" w14:textId="77777777" w:rsidR="000654A7" w:rsidRPr="000654A7" w:rsidRDefault="000654A7" w:rsidP="000654A7">
      <w:pPr>
        <w:numPr>
          <w:ilvl w:val="1"/>
          <w:numId w:val="2"/>
        </w:numPr>
        <w:spacing w:before="100" w:beforeAutospacing="1" w:after="100" w:afterAutospacing="1"/>
        <w:rPr>
          <w:rFonts w:cstheme="minorHAnsi"/>
        </w:rPr>
      </w:pPr>
      <w:r w:rsidRPr="000654A7">
        <w:rPr>
          <w:rFonts w:cstheme="minorHAnsi"/>
        </w:rPr>
        <w:t>The original grade will still be factored in for HOPE/Zell scholarship calculations and GPA calculations by professional schools (like medical schools).</w:t>
      </w:r>
    </w:p>
    <w:p w14:paraId="0C9B41FD" w14:textId="77777777" w:rsidR="000654A7" w:rsidRPr="000654A7" w:rsidRDefault="000654A7" w:rsidP="000654A7">
      <w:pPr>
        <w:numPr>
          <w:ilvl w:val="1"/>
          <w:numId w:val="2"/>
        </w:numPr>
        <w:spacing w:before="100" w:beforeAutospacing="1" w:after="100" w:afterAutospacing="1"/>
        <w:rPr>
          <w:rFonts w:cstheme="minorHAnsi"/>
        </w:rPr>
      </w:pPr>
      <w:r w:rsidRPr="000654A7">
        <w:rPr>
          <w:rFonts w:cstheme="minorHAnsi"/>
        </w:rPr>
        <w:t>The original grade will NOT be used in the calculation of your overall GPA for GT purposes, such as graduation with honors and academic standing.</w:t>
      </w:r>
    </w:p>
    <w:p w14:paraId="3B3F3956" w14:textId="2CCCB560" w:rsidR="000654A7" w:rsidRPr="000654A7" w:rsidRDefault="000654A7" w:rsidP="000654A7">
      <w:pPr>
        <w:numPr>
          <w:ilvl w:val="0"/>
          <w:numId w:val="2"/>
        </w:numPr>
        <w:spacing w:before="100" w:beforeAutospacing="1" w:after="100" w:afterAutospacing="1"/>
        <w:rPr>
          <w:rFonts w:cstheme="minorHAnsi"/>
        </w:rPr>
      </w:pPr>
      <w:hyperlink r:id="rId14" w:tgtFrame="_blank" w:history="1">
        <w:r>
          <w:rPr>
            <w:rStyle w:val="Hyperlink"/>
            <w:rFonts w:cstheme="minorHAnsi"/>
          </w:rPr>
          <w:t>The C</w:t>
        </w:r>
        <w:r w:rsidRPr="000654A7">
          <w:rPr>
            <w:rStyle w:val="Hyperlink"/>
            <w:rFonts w:cstheme="minorHAnsi"/>
          </w:rPr>
          <w:t>enter for Mental Health Care &amp; Re</w:t>
        </w:r>
        <w:r w:rsidRPr="000654A7">
          <w:rPr>
            <w:rStyle w:val="Hyperlink"/>
            <w:rFonts w:cstheme="minorHAnsi"/>
          </w:rPr>
          <w:t>s</w:t>
        </w:r>
        <w:r w:rsidRPr="000654A7">
          <w:rPr>
            <w:rStyle w:val="Hyperlink"/>
            <w:rFonts w:cstheme="minorHAnsi"/>
          </w:rPr>
          <w:t>ources</w:t>
        </w:r>
      </w:hyperlink>
      <w:r w:rsidRPr="000654A7">
        <w:rPr>
          <w:rFonts w:cstheme="minorHAnsi"/>
        </w:rPr>
        <w:t xml:space="preserve"> is a single point of entry where students can access mental health resources and service both on campus and in the community.  </w:t>
      </w:r>
    </w:p>
    <w:p w14:paraId="03877B74" w14:textId="77777777" w:rsidR="000654A7" w:rsidRPr="000654A7" w:rsidRDefault="000654A7" w:rsidP="000654A7">
      <w:pPr>
        <w:numPr>
          <w:ilvl w:val="0"/>
          <w:numId w:val="2"/>
        </w:numPr>
        <w:spacing w:before="100" w:beforeAutospacing="1" w:after="100" w:afterAutospacing="1"/>
        <w:rPr>
          <w:rFonts w:cstheme="minorHAnsi"/>
        </w:rPr>
      </w:pPr>
      <w:hyperlink r:id="rId15" w:tgtFrame="_blank" w:history="1">
        <w:r w:rsidRPr="000654A7">
          <w:rPr>
            <w:rStyle w:val="Hyperlink"/>
            <w:rFonts w:cstheme="minorHAnsi"/>
          </w:rPr>
          <w:t>The Well</w:t>
        </w:r>
        <w:r w:rsidRPr="000654A7">
          <w:rPr>
            <w:rStyle w:val="Hyperlink"/>
            <w:rFonts w:cstheme="minorHAnsi"/>
          </w:rPr>
          <w:t>n</w:t>
        </w:r>
        <w:r w:rsidRPr="000654A7">
          <w:rPr>
            <w:rStyle w:val="Hyperlink"/>
            <w:rFonts w:cstheme="minorHAnsi"/>
          </w:rPr>
          <w:t>ess Empowerment Center</w:t>
        </w:r>
      </w:hyperlink>
      <w:r w:rsidRPr="000654A7">
        <w:rPr>
          <w:rFonts w:cstheme="minorHAnsi"/>
        </w:rPr>
        <w:t xml:space="preserve"> offers multiple programs and services to support whole-person health and wellbeing including programs in Wellness Coaching, Financial Wellness, Adulting, and physical health</w:t>
      </w:r>
    </w:p>
    <w:p w14:paraId="7F97B122" w14:textId="186B6C1E" w:rsidR="000654A7" w:rsidRPr="000654A7" w:rsidRDefault="000654A7" w:rsidP="000654A7">
      <w:pPr>
        <w:numPr>
          <w:ilvl w:val="0"/>
          <w:numId w:val="2"/>
        </w:numPr>
        <w:spacing w:before="100" w:beforeAutospacing="1" w:after="100" w:afterAutospacing="1"/>
        <w:rPr>
          <w:rFonts w:cstheme="minorHAnsi"/>
        </w:rPr>
      </w:pPr>
      <w:hyperlink r:id="rId16" w:tgtFrame="_blank" w:history="1">
        <w:r w:rsidRPr="000654A7">
          <w:rPr>
            <w:rStyle w:val="Hyperlink"/>
            <w:rFonts w:cstheme="minorHAnsi"/>
          </w:rPr>
          <w:t>Exploratory A</w:t>
        </w:r>
        <w:r w:rsidRPr="000654A7">
          <w:rPr>
            <w:rStyle w:val="Hyperlink"/>
            <w:rFonts w:cstheme="minorHAnsi"/>
          </w:rPr>
          <w:t>d</w:t>
        </w:r>
        <w:r w:rsidRPr="000654A7">
          <w:rPr>
            <w:rStyle w:val="Hyperlink"/>
            <w:rFonts w:cstheme="minorHAnsi"/>
          </w:rPr>
          <w:t>vising</w:t>
        </w:r>
      </w:hyperlink>
      <w:r w:rsidRPr="000654A7">
        <w:rPr>
          <w:rFonts w:cstheme="minorHAnsi"/>
        </w:rPr>
        <w:t xml:space="preserve"> can help you explore majors and academic options, including minors and certificates.</w:t>
      </w:r>
    </w:p>
    <w:p w14:paraId="797354B1" w14:textId="77777777" w:rsidR="000654A7" w:rsidRPr="000654A7" w:rsidRDefault="000654A7" w:rsidP="000654A7">
      <w:pPr>
        <w:numPr>
          <w:ilvl w:val="0"/>
          <w:numId w:val="2"/>
        </w:numPr>
        <w:spacing w:before="100" w:beforeAutospacing="1" w:after="100" w:afterAutospacing="1"/>
        <w:rPr>
          <w:rFonts w:cstheme="minorHAnsi"/>
        </w:rPr>
      </w:pPr>
      <w:hyperlink r:id="rId17" w:tgtFrame="_blank" w:history="1">
        <w:r w:rsidRPr="000654A7">
          <w:rPr>
            <w:rStyle w:val="Hyperlink"/>
            <w:rFonts w:cstheme="minorHAnsi"/>
          </w:rPr>
          <w:t>The Caree</w:t>
        </w:r>
        <w:r w:rsidRPr="000654A7">
          <w:rPr>
            <w:rStyle w:val="Hyperlink"/>
            <w:rFonts w:cstheme="minorHAnsi"/>
          </w:rPr>
          <w:t>r</w:t>
        </w:r>
        <w:r w:rsidRPr="000654A7">
          <w:rPr>
            <w:rStyle w:val="Hyperlink"/>
            <w:rFonts w:cstheme="minorHAnsi"/>
          </w:rPr>
          <w:t xml:space="preserve"> Center</w:t>
        </w:r>
      </w:hyperlink>
      <w:r w:rsidRPr="000654A7">
        <w:rPr>
          <w:rFonts w:cstheme="minorHAnsi"/>
        </w:rPr>
        <w:t> can help you to set goals and find motivation by counseling you on possible careers to suit your values and interests.</w:t>
      </w:r>
    </w:p>
    <w:p w14:paraId="58850781" w14:textId="77777777" w:rsidR="000654A7" w:rsidRPr="000654A7" w:rsidRDefault="000654A7" w:rsidP="000654A7">
      <w:pPr>
        <w:numPr>
          <w:ilvl w:val="0"/>
          <w:numId w:val="2"/>
        </w:numPr>
        <w:spacing w:before="100" w:beforeAutospacing="1" w:after="100" w:afterAutospacing="1"/>
        <w:rPr>
          <w:rFonts w:cstheme="minorHAnsi"/>
        </w:rPr>
      </w:pPr>
      <w:hyperlink r:id="rId18" w:tgtFrame="_blank" w:tooltip="Link" w:history="1">
        <w:r w:rsidRPr="000654A7">
          <w:rPr>
            <w:rStyle w:val="Hyperlink"/>
            <w:rFonts w:cstheme="minorHAnsi"/>
          </w:rPr>
          <w:t>The Dean of Students Office</w:t>
        </w:r>
      </w:hyperlink>
      <w:r w:rsidRPr="000654A7">
        <w:rPr>
          <w:rFonts w:cstheme="minorHAnsi"/>
        </w:rPr>
        <w:t xml:space="preserve"> can help with excused absences due to illness, emergencies, or other issues. Their office also provides additional support and can connect you with specific resources if you’re unsure where to go for help. </w:t>
      </w:r>
    </w:p>
    <w:p w14:paraId="56BB106E" w14:textId="77777777" w:rsidR="000654A7" w:rsidRPr="000654A7" w:rsidRDefault="000654A7" w:rsidP="003C7DCB">
      <w:pPr>
        <w:rPr>
          <w:rFonts w:ascii="Calibri" w:hAnsi="Calibri"/>
          <w:sz w:val="28"/>
          <w:szCs w:val="28"/>
        </w:rPr>
      </w:pPr>
    </w:p>
    <w:sectPr w:rsidR="000654A7" w:rsidRPr="000654A7" w:rsidSect="00B02E6F">
      <w:headerReference w:type="default" r:id="rId19"/>
      <w:footerReference w:type="default" r:id="rId20"/>
      <w:pgSz w:w="15840" w:h="12240" w:orient="landscape"/>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61883" w14:textId="77777777" w:rsidR="000F4B68" w:rsidRDefault="000F4B68" w:rsidP="00DB5DDF">
      <w:r>
        <w:separator/>
      </w:r>
    </w:p>
  </w:endnote>
  <w:endnote w:type="continuationSeparator" w:id="0">
    <w:p w14:paraId="412647A5" w14:textId="77777777" w:rsidR="000F4B68" w:rsidRDefault="000F4B68" w:rsidP="00DB5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8D837" w14:textId="10AEE870" w:rsidR="00616C7D" w:rsidRDefault="00E70EFA">
    <w:pPr>
      <w:pStyle w:val="Footer"/>
    </w:pPr>
    <w:r>
      <w:rPr>
        <w:noProof/>
      </w:rPr>
      <w:drawing>
        <wp:anchor distT="0" distB="0" distL="114300" distR="114300" simplePos="0" relativeHeight="251661312" behindDoc="0" locked="0" layoutInCell="1" allowOverlap="1" wp14:anchorId="4A0A7B7C" wp14:editId="4A4BE5D1">
          <wp:simplePos x="0" y="0"/>
          <wp:positionH relativeFrom="column">
            <wp:posOffset>8505825</wp:posOffset>
          </wp:positionH>
          <wp:positionV relativeFrom="paragraph">
            <wp:posOffset>9525</wp:posOffset>
          </wp:positionV>
          <wp:extent cx="847725" cy="152400"/>
          <wp:effectExtent l="0" t="0" r="9525" b="0"/>
          <wp:wrapNone/>
          <wp:docPr id="12" name="Picture 12" descr="CC BY-NC-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C BY-NC-SA"/>
                  <pic:cNvPicPr/>
                </pic:nvPicPr>
                <pic:blipFill rotWithShape="1">
                  <a:blip r:embed="rId1">
                    <a:extLst>
                      <a:ext uri="{28A0092B-C50C-407E-A947-70E740481C1C}">
                        <a14:useLocalDpi xmlns:a14="http://schemas.microsoft.com/office/drawing/2010/main" val="0"/>
                      </a:ext>
                    </a:extLst>
                  </a:blip>
                  <a:srcRect t="23333" b="23333"/>
                  <a:stretch/>
                </pic:blipFill>
                <pic:spPr bwMode="auto">
                  <a:xfrm>
                    <a:off x="0" y="0"/>
                    <a:ext cx="847725" cy="152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6C7D">
      <w:t xml:space="preserve">Developed by the Georgia Tech School of Biological Sciences </w:t>
    </w:r>
    <w:r w:rsidR="007D267B">
      <w:t xml:space="preserve">Academic </w:t>
    </w:r>
    <w:r w:rsidR="00616C7D">
      <w:t>Advising 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78EF5" w14:textId="77777777" w:rsidR="000F4B68" w:rsidRDefault="000F4B68" w:rsidP="00DB5DDF">
      <w:r>
        <w:separator/>
      </w:r>
    </w:p>
  </w:footnote>
  <w:footnote w:type="continuationSeparator" w:id="0">
    <w:p w14:paraId="75C5BECD" w14:textId="77777777" w:rsidR="000F4B68" w:rsidRDefault="000F4B68" w:rsidP="00DB5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7B048" w14:textId="2F2E9F89" w:rsidR="00DB5DDF" w:rsidRPr="00DB5DDF" w:rsidRDefault="00616C7D" w:rsidP="00DB5DDF">
    <w:pPr>
      <w:rPr>
        <w:rFonts w:ascii="Calibri" w:hAnsi="Calibri"/>
        <w:b/>
        <w:sz w:val="28"/>
      </w:rPr>
    </w:pPr>
    <w:r w:rsidRPr="00251571">
      <w:rPr>
        <w:rFonts w:ascii="Arial" w:hAnsi="Arial" w:cs="Arial"/>
        <w:noProof/>
      </w:rPr>
      <w:drawing>
        <wp:anchor distT="0" distB="0" distL="114300" distR="114300" simplePos="0" relativeHeight="251659264" behindDoc="0" locked="0" layoutInCell="1" allowOverlap="1" wp14:anchorId="2255DFDF" wp14:editId="78A5602D">
          <wp:simplePos x="0" y="0"/>
          <wp:positionH relativeFrom="margin">
            <wp:posOffset>6772275</wp:posOffset>
          </wp:positionH>
          <wp:positionV relativeFrom="margin">
            <wp:posOffset>-629285</wp:posOffset>
          </wp:positionV>
          <wp:extent cx="2400300" cy="514350"/>
          <wp:effectExtent l="0" t="0" r="0" b="0"/>
          <wp:wrapSquare wrapText="bothSides"/>
          <wp:docPr id="2" name="Picture 2" descr="SchoolofBiologicalSciences-solid-539+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ofBiologicalSciences-solid-539+1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514350"/>
                  </a:xfrm>
                  <a:prstGeom prst="rect">
                    <a:avLst/>
                  </a:prstGeom>
                  <a:noFill/>
                  <a:ln>
                    <a:noFill/>
                  </a:ln>
                </pic:spPr>
              </pic:pic>
            </a:graphicData>
          </a:graphic>
        </wp:anchor>
      </w:drawing>
    </w:r>
    <w:r w:rsidR="00F76FCC">
      <w:rPr>
        <w:rFonts w:ascii="Calibri" w:hAnsi="Calibri"/>
        <w:b/>
        <w:sz w:val="28"/>
      </w:rPr>
      <w:t xml:space="preserve">Spring 26 </w:t>
    </w:r>
    <w:r w:rsidR="00DB5DDF" w:rsidRPr="00DB5DDF">
      <w:rPr>
        <w:rFonts w:ascii="Calibri" w:hAnsi="Calibri"/>
        <w:b/>
        <w:sz w:val="28"/>
      </w:rPr>
      <w:t>Georgia Tech School of Biological Sciences Midterm U Advising Form</w:t>
    </w:r>
    <w:r w:rsidR="008A2EC9">
      <w:rPr>
        <w:rFonts w:ascii="Calibri" w:hAnsi="Calibri"/>
        <w:b/>
        <w:sz w:val="28"/>
      </w:rPr>
      <w:t xml:space="preserve"> </w:t>
    </w:r>
  </w:p>
  <w:p w14:paraId="23A3D277" w14:textId="77777777" w:rsidR="00332331" w:rsidRPr="0030090F" w:rsidRDefault="00332331" w:rsidP="00DB5DDF">
    <w:pPr>
      <w:rPr>
        <w:rFonts w:ascii="Calibri" w:hAnsi="Calibr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102B8"/>
    <w:multiLevelType w:val="multilevel"/>
    <w:tmpl w:val="F9E42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716063"/>
    <w:multiLevelType w:val="hybridMultilevel"/>
    <w:tmpl w:val="70B2CE48"/>
    <w:lvl w:ilvl="0" w:tplc="89A03F80">
      <w:start w:val="1"/>
      <w:numFmt w:val="decimal"/>
      <w:lvlText w:val="%1."/>
      <w:lvlJc w:val="left"/>
      <w:pPr>
        <w:ind w:left="720" w:hanging="360"/>
      </w:pPr>
      <w:rPr>
        <w:rFonts w:ascii="Arial" w:hAnsi="Arial"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5430970">
    <w:abstractNumId w:val="1"/>
  </w:num>
  <w:num w:numId="2" w16cid:durableId="1999184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DDF"/>
    <w:rsid w:val="000057D8"/>
    <w:rsid w:val="000130B3"/>
    <w:rsid w:val="00014455"/>
    <w:rsid w:val="00022C83"/>
    <w:rsid w:val="00027BE0"/>
    <w:rsid w:val="000353CC"/>
    <w:rsid w:val="00053269"/>
    <w:rsid w:val="00053274"/>
    <w:rsid w:val="000654A7"/>
    <w:rsid w:val="0008384E"/>
    <w:rsid w:val="00093BCA"/>
    <w:rsid w:val="000C59A3"/>
    <w:rsid w:val="000D03D0"/>
    <w:rsid w:val="000E7081"/>
    <w:rsid w:val="000F4B68"/>
    <w:rsid w:val="00117F3C"/>
    <w:rsid w:val="00121B00"/>
    <w:rsid w:val="00125A24"/>
    <w:rsid w:val="00141914"/>
    <w:rsid w:val="00145CD1"/>
    <w:rsid w:val="001566BA"/>
    <w:rsid w:val="00161507"/>
    <w:rsid w:val="001A4211"/>
    <w:rsid w:val="001C007C"/>
    <w:rsid w:val="001C3C1D"/>
    <w:rsid w:val="001F13E6"/>
    <w:rsid w:val="00205875"/>
    <w:rsid w:val="002068C7"/>
    <w:rsid w:val="00240BEC"/>
    <w:rsid w:val="0024772B"/>
    <w:rsid w:val="002B695A"/>
    <w:rsid w:val="002C164E"/>
    <w:rsid w:val="002D4116"/>
    <w:rsid w:val="002E09C5"/>
    <w:rsid w:val="002F0AFA"/>
    <w:rsid w:val="003040A9"/>
    <w:rsid w:val="00310C52"/>
    <w:rsid w:val="00332331"/>
    <w:rsid w:val="003400D5"/>
    <w:rsid w:val="00346676"/>
    <w:rsid w:val="00397D21"/>
    <w:rsid w:val="003B0737"/>
    <w:rsid w:val="003B3D28"/>
    <w:rsid w:val="003C7DCB"/>
    <w:rsid w:val="003D4640"/>
    <w:rsid w:val="003E788A"/>
    <w:rsid w:val="003F0318"/>
    <w:rsid w:val="003F09CA"/>
    <w:rsid w:val="003F29AF"/>
    <w:rsid w:val="00404450"/>
    <w:rsid w:val="0041760B"/>
    <w:rsid w:val="004753FD"/>
    <w:rsid w:val="004A74B1"/>
    <w:rsid w:val="004D2BE0"/>
    <w:rsid w:val="00502569"/>
    <w:rsid w:val="00554079"/>
    <w:rsid w:val="0056041C"/>
    <w:rsid w:val="005634BF"/>
    <w:rsid w:val="005843D5"/>
    <w:rsid w:val="005865C0"/>
    <w:rsid w:val="005B491F"/>
    <w:rsid w:val="005C6804"/>
    <w:rsid w:val="00614A93"/>
    <w:rsid w:val="00616C7D"/>
    <w:rsid w:val="00632099"/>
    <w:rsid w:val="0065110F"/>
    <w:rsid w:val="006648A8"/>
    <w:rsid w:val="006651CE"/>
    <w:rsid w:val="0067693B"/>
    <w:rsid w:val="006773F7"/>
    <w:rsid w:val="006B69B5"/>
    <w:rsid w:val="006D4FBA"/>
    <w:rsid w:val="006E3EFF"/>
    <w:rsid w:val="00702678"/>
    <w:rsid w:val="007123FC"/>
    <w:rsid w:val="007353BC"/>
    <w:rsid w:val="00763D54"/>
    <w:rsid w:val="0079581A"/>
    <w:rsid w:val="007B7851"/>
    <w:rsid w:val="007D0940"/>
    <w:rsid w:val="007D267B"/>
    <w:rsid w:val="007D267F"/>
    <w:rsid w:val="008265AB"/>
    <w:rsid w:val="00834BC2"/>
    <w:rsid w:val="008A2EC9"/>
    <w:rsid w:val="008B04F4"/>
    <w:rsid w:val="008F4970"/>
    <w:rsid w:val="00915B3D"/>
    <w:rsid w:val="00917E0A"/>
    <w:rsid w:val="00943BE9"/>
    <w:rsid w:val="009447D4"/>
    <w:rsid w:val="009959B0"/>
    <w:rsid w:val="00997AAF"/>
    <w:rsid w:val="009A65E4"/>
    <w:rsid w:val="009B720A"/>
    <w:rsid w:val="009E1791"/>
    <w:rsid w:val="00A00819"/>
    <w:rsid w:val="00A024C5"/>
    <w:rsid w:val="00A30683"/>
    <w:rsid w:val="00A51152"/>
    <w:rsid w:val="00A83D7A"/>
    <w:rsid w:val="00A87CFE"/>
    <w:rsid w:val="00A90C0D"/>
    <w:rsid w:val="00A95965"/>
    <w:rsid w:val="00AA2F4D"/>
    <w:rsid w:val="00AC12B3"/>
    <w:rsid w:val="00AE42F0"/>
    <w:rsid w:val="00B02E6F"/>
    <w:rsid w:val="00B11860"/>
    <w:rsid w:val="00B477B5"/>
    <w:rsid w:val="00BA0C07"/>
    <w:rsid w:val="00C0032C"/>
    <w:rsid w:val="00C138CE"/>
    <w:rsid w:val="00C54909"/>
    <w:rsid w:val="00C71B96"/>
    <w:rsid w:val="00C82C47"/>
    <w:rsid w:val="00C83AF2"/>
    <w:rsid w:val="00CA2D94"/>
    <w:rsid w:val="00CC76A8"/>
    <w:rsid w:val="00CF34FF"/>
    <w:rsid w:val="00D138B0"/>
    <w:rsid w:val="00D34617"/>
    <w:rsid w:val="00D416FC"/>
    <w:rsid w:val="00D65DD7"/>
    <w:rsid w:val="00D7347A"/>
    <w:rsid w:val="00D907BB"/>
    <w:rsid w:val="00DB5DDF"/>
    <w:rsid w:val="00DC11EB"/>
    <w:rsid w:val="00E11483"/>
    <w:rsid w:val="00E35A23"/>
    <w:rsid w:val="00E55559"/>
    <w:rsid w:val="00E55D50"/>
    <w:rsid w:val="00E60450"/>
    <w:rsid w:val="00E61F32"/>
    <w:rsid w:val="00E67FB4"/>
    <w:rsid w:val="00E70EFA"/>
    <w:rsid w:val="00E73D41"/>
    <w:rsid w:val="00E82862"/>
    <w:rsid w:val="00E93092"/>
    <w:rsid w:val="00E9524C"/>
    <w:rsid w:val="00EA1504"/>
    <w:rsid w:val="00ED3877"/>
    <w:rsid w:val="00EE23F9"/>
    <w:rsid w:val="00F25387"/>
    <w:rsid w:val="00F54E1A"/>
    <w:rsid w:val="00F61105"/>
    <w:rsid w:val="00F66915"/>
    <w:rsid w:val="00F76FCC"/>
    <w:rsid w:val="00FB6B15"/>
    <w:rsid w:val="00FD3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DA529"/>
  <w15:chartTrackingRefBased/>
  <w15:docId w15:val="{3BBE877A-690D-4098-B29F-48069E8B3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B5DDF"/>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B5DDF"/>
    <w:rPr>
      <w:color w:val="0000FF"/>
      <w:u w:val="single"/>
    </w:rPr>
  </w:style>
  <w:style w:type="paragraph" w:styleId="Header">
    <w:name w:val="header"/>
    <w:basedOn w:val="Normal"/>
    <w:link w:val="HeaderChar"/>
    <w:uiPriority w:val="99"/>
    <w:unhideWhenUsed/>
    <w:rsid w:val="00DB5DDF"/>
    <w:pPr>
      <w:tabs>
        <w:tab w:val="center" w:pos="4680"/>
        <w:tab w:val="right" w:pos="9360"/>
      </w:tabs>
    </w:pPr>
  </w:style>
  <w:style w:type="character" w:customStyle="1" w:styleId="HeaderChar">
    <w:name w:val="Header Char"/>
    <w:basedOn w:val="DefaultParagraphFont"/>
    <w:link w:val="Header"/>
    <w:uiPriority w:val="99"/>
    <w:rsid w:val="00DB5DDF"/>
  </w:style>
  <w:style w:type="paragraph" w:styleId="Footer">
    <w:name w:val="footer"/>
    <w:basedOn w:val="Normal"/>
    <w:link w:val="FooterChar"/>
    <w:uiPriority w:val="99"/>
    <w:unhideWhenUsed/>
    <w:rsid w:val="00DB5DDF"/>
    <w:pPr>
      <w:tabs>
        <w:tab w:val="center" w:pos="4680"/>
        <w:tab w:val="right" w:pos="9360"/>
      </w:tabs>
    </w:pPr>
  </w:style>
  <w:style w:type="character" w:customStyle="1" w:styleId="FooterChar">
    <w:name w:val="Footer Char"/>
    <w:basedOn w:val="DefaultParagraphFont"/>
    <w:link w:val="Footer"/>
    <w:uiPriority w:val="99"/>
    <w:rsid w:val="00DB5DDF"/>
  </w:style>
  <w:style w:type="paragraph" w:styleId="BalloonText">
    <w:name w:val="Balloon Text"/>
    <w:basedOn w:val="Normal"/>
    <w:link w:val="BalloonTextChar"/>
    <w:uiPriority w:val="99"/>
    <w:semiHidden/>
    <w:unhideWhenUsed/>
    <w:rsid w:val="00DB5D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DDF"/>
    <w:rPr>
      <w:rFonts w:ascii="Segoe UI" w:hAnsi="Segoe UI" w:cs="Segoe UI"/>
      <w:sz w:val="18"/>
      <w:szCs w:val="18"/>
    </w:rPr>
  </w:style>
  <w:style w:type="paragraph" w:styleId="ListParagraph">
    <w:name w:val="List Paragraph"/>
    <w:basedOn w:val="Normal"/>
    <w:uiPriority w:val="34"/>
    <w:qFormat/>
    <w:rsid w:val="00ED3877"/>
    <w:pPr>
      <w:ind w:left="720"/>
      <w:contextualSpacing/>
    </w:pPr>
  </w:style>
  <w:style w:type="table" w:styleId="TableGrid">
    <w:name w:val="Table Grid"/>
    <w:basedOn w:val="TableNormal"/>
    <w:uiPriority w:val="59"/>
    <w:rsid w:val="00FB6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654A7"/>
    <w:rPr>
      <w:color w:val="954F72" w:themeColor="followedHyperlink"/>
      <w:u w:val="single"/>
    </w:rPr>
  </w:style>
  <w:style w:type="character" w:styleId="UnresolvedMention">
    <w:name w:val="Unresolved Mention"/>
    <w:basedOn w:val="DefaultParagraphFont"/>
    <w:uiPriority w:val="99"/>
    <w:semiHidden/>
    <w:unhideWhenUsed/>
    <w:rsid w:val="005B49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06049">
      <w:bodyDiv w:val="1"/>
      <w:marLeft w:val="0"/>
      <w:marRight w:val="0"/>
      <w:marTop w:val="0"/>
      <w:marBottom w:val="0"/>
      <w:divBdr>
        <w:top w:val="none" w:sz="0" w:space="0" w:color="auto"/>
        <w:left w:val="none" w:sz="0" w:space="0" w:color="auto"/>
        <w:bottom w:val="none" w:sz="0" w:space="0" w:color="auto"/>
        <w:right w:val="none" w:sz="0" w:space="0" w:color="auto"/>
      </w:divBdr>
    </w:div>
    <w:div w:id="492182807">
      <w:bodyDiv w:val="1"/>
      <w:marLeft w:val="0"/>
      <w:marRight w:val="0"/>
      <w:marTop w:val="0"/>
      <w:marBottom w:val="0"/>
      <w:divBdr>
        <w:top w:val="none" w:sz="0" w:space="0" w:color="auto"/>
        <w:left w:val="none" w:sz="0" w:space="0" w:color="auto"/>
        <w:bottom w:val="none" w:sz="0" w:space="0" w:color="auto"/>
        <w:right w:val="none" w:sz="0" w:space="0" w:color="auto"/>
      </w:divBdr>
    </w:div>
    <w:div w:id="108268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user/GTSuccessPrograms/videos" TargetMode="External"/><Relationship Id="rId13" Type="http://schemas.openxmlformats.org/officeDocument/2006/relationships/hyperlink" Target="https://catalog.gatech.edu/policies/grading-gpa/grade-substitution/" TargetMode="External"/><Relationship Id="rId18" Type="http://schemas.openxmlformats.org/officeDocument/2006/relationships/hyperlink" Target="https://studentlife.gatech.edu/request-assistanc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success.gatech.edu/retention/academic-coaching/" TargetMode="External"/><Relationship Id="rId12" Type="http://schemas.openxmlformats.org/officeDocument/2006/relationships/hyperlink" Target="https://www.communicationcenter.gatech.edu/" TargetMode="External"/><Relationship Id="rId17" Type="http://schemas.openxmlformats.org/officeDocument/2006/relationships/hyperlink" Target="http://career.gatech.edu/" TargetMode="External"/><Relationship Id="rId2" Type="http://schemas.openxmlformats.org/officeDocument/2006/relationships/styles" Target="styles.xml"/><Relationship Id="rId16" Type="http://schemas.openxmlformats.org/officeDocument/2006/relationships/hyperlink" Target="https://www.success.gatech.edu/exploratory-advising/"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uccess.gatech.edu/tutoring/plus/" TargetMode="External"/><Relationship Id="rId5" Type="http://schemas.openxmlformats.org/officeDocument/2006/relationships/footnotes" Target="footnotes.xml"/><Relationship Id="rId15" Type="http://schemas.openxmlformats.org/officeDocument/2006/relationships/hyperlink" Target="https://wellnesscenter.gatech.edu/" TargetMode="External"/><Relationship Id="rId10" Type="http://schemas.openxmlformats.org/officeDocument/2006/relationships/hyperlink" Target="https://www.success.gatech.edu/tutoring/plu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uccess.gatech.edu/retention/academic-coaching/" TargetMode="External"/><Relationship Id="rId14" Type="http://schemas.openxmlformats.org/officeDocument/2006/relationships/hyperlink" Target="https://care.gatech.edu/"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666</Words>
  <Characters>3575</Characters>
  <Application>Microsoft Office Word</Application>
  <DocSecurity>0</DocSecurity>
  <Lines>85</Lines>
  <Paragraphs>43</Paragraphs>
  <ScaleCrop>false</ScaleCrop>
  <HeadingPairs>
    <vt:vector size="2" baseType="variant">
      <vt:variant>
        <vt:lpstr>Title</vt:lpstr>
      </vt:variant>
      <vt:variant>
        <vt:i4>1</vt:i4>
      </vt:variant>
    </vt:vector>
  </HeadingPairs>
  <TitlesOfParts>
    <vt:vector size="1" baseType="lpstr">
      <vt:lpstr/>
    </vt:vector>
  </TitlesOfParts>
  <Company>Georgia Institute of Technology</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 Shana C</dc:creator>
  <cp:keywords/>
  <dc:description/>
  <cp:lastModifiedBy>Kerr, Shana C</cp:lastModifiedBy>
  <cp:revision>7</cp:revision>
  <cp:lastPrinted>2019-08-07T12:41:00Z</cp:lastPrinted>
  <dcterms:created xsi:type="dcterms:W3CDTF">2026-01-26T20:46:00Z</dcterms:created>
  <dcterms:modified xsi:type="dcterms:W3CDTF">2026-01-26T20:52:00Z</dcterms:modified>
</cp:coreProperties>
</file>